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仿宋_GB2312" w:eastAsia="仿宋_GB2312" w:cs="仿宋_GB2312" w:hAnsiTheme="minorHAnsi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default" w:ascii="仿宋_GB2312" w:eastAsia="仿宋_GB2312" w:cs="仿宋_GB2312" w:hAnsiTheme="minorHAnsi"/>
          <w:b/>
          <w:bCs/>
          <w:kern w:val="0"/>
          <w:sz w:val="36"/>
          <w:szCs w:val="36"/>
          <w:lang w:val="en-US" w:eastAsia="zh-CN" w:bidi="ar"/>
        </w:rPr>
        <w:t>关于开展第二批北京高校“辅导员工作室”建设工作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仿宋_GB2312" w:eastAsia="仿宋_GB2312" w:cs="仿宋_GB2312" w:hAnsiTheme="minorHAnsi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kern w:val="0"/>
          <w:sz w:val="36"/>
          <w:szCs w:val="36"/>
          <w:lang w:val="en-US" w:eastAsia="zh-CN" w:bidi="ar"/>
        </w:rPr>
        <w:t>申报</w:t>
      </w:r>
      <w:r>
        <w:rPr>
          <w:rFonts w:hint="default" w:ascii="仿宋_GB2312" w:eastAsia="仿宋_GB2312" w:cs="仿宋_GB2312" w:hAnsiTheme="minorHAnsi"/>
          <w:b/>
          <w:bCs/>
          <w:kern w:val="0"/>
          <w:sz w:val="36"/>
          <w:szCs w:val="36"/>
          <w:lang w:val="en-US" w:eastAsia="zh-CN" w:bidi="ar"/>
        </w:rPr>
        <w:t>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为深入学习贯彻党的十九大精神，落实全国和北京高校思想政治工作会议部署，进一步加强辅导员队伍建设，努力打造一批专家型辅导员骨干，有力推进辅导员工作的专业化、品牌化，市委教工委决定开展第二批北京高校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辅导员工作室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建设工作，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年将继续资助建设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个。具体通知如下。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一、目的意义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紧密结合首都大学生成长成才需求，围绕辅导员工作中的重点难点问题，开展学术研究、实践探索、研讨交流等，努力形成专业性、实效性强的工作模式或成果，同时发挥示范引领、辐射带动作用，整体提升北京高校辅导员工作的层次和水平，在北京及全国高校树立一批有一定影响力和知名度的辅导员名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二、申报要求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每个工作室应紧紧围绕某一专项工作来设计和建设。专项工作的选择应从当前首都大学生成长成才的需求出发，紧扣辅导员工作职责，以党的十九大精神和习近平新时代中国特色社会主义思想宣传教育、培育和践行社会主义核心价值观、中华优秀传统文化教育、意识形态工作、少数民族学生教育管理、学生党建、新生教育、深度辅导、学业辅导、心理工作、网络思政、新媒体传播等为重点方向（所选方向原则上不要与第一批工作室类同），坚持问题导向和实践导向，务实具体，突出时代性、创新性、实践性，具有一定的学校和学科特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方案设计应目标明确、思路清晰、任务具体，注重发挥示范、辐射作用，操作性、可行性强。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申报人在选定的专项工作领域有一定研究、实践基础，学校前期已经培育和建设的优先。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所在学校应承诺每年以不低于市里资助经费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1/2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的额度配套，同时为工作室运行、建设提供其它必要条件。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三、申报办法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申报对象。申报人即工作室负责人（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人）应为北京高校一线专职辅导员（含二级院系分管学生工作党委副书记），工作须满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年以上；团队成员不少于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人（含），可跨校组织，专、兼职均可。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申报数量。每校限报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项，第一批北京高校“辅导员工作室”所在高校原则上不再申报。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申报材料。（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）申报表（见附件）。学校党委意见栏请填写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100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字左右的推荐意见。（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）文字说明材料（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3000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字以内）。基本内容包括选题、背景意义、建设目标、建设思路、实施计划与工作机制、预期效果与远景目标、工作基础与已有经验、经费预算等。（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）支撑材料。可根据实际情况，提供能直接说明工作基础的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PPT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、图片、辅助资料等。图片不超过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张，其他辅助资料不超过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文本提交。请各校于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11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19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日前将申报材料电子版发送至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e8420@126.com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（注明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辅导员工作室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字样），同时将加盖学校党委公章的申报表纸质版邮寄至市委教工委宣教处，过期不再受理。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四、评审与管理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市委教工委将组织有关专家，按照公平、公正、公开以及注重质量、宁缺毋滥的原则，进行严格评审。入选的工作室将进行公示，正式入选的将择时正式授牌。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市委教工委将每年为每个工作室提供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万元的经费资助。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市委教工委将按照目标管理和过程管理相结合的原则，每年对工作室的运行建设和经费使用情况进行考核，合格者将继续资助，资助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年为止；不合格者，下一年即停止资助、摘牌。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五、联系方式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联系人：王星星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/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王宇航，联系电话：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63088960/9667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地</w:t>
      </w:r>
      <w:r>
        <w:rPr>
          <w:rFonts w:hint="default" w:ascii="Times New Roman" w:hAnsi="Times New Roman" w:cs="Times New Roman" w:eastAsiaTheme="minorEastAsia"/>
          <w:b w:val="0"/>
          <w:kern w:val="0"/>
          <w:sz w:val="27"/>
          <w:szCs w:val="27"/>
          <w:lang w:val="en-US" w:eastAsia="zh-CN" w:bidi="ar"/>
        </w:rPr>
        <w:t>    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址：东城区台基厂大街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号市委教工委宣教处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邮</w:t>
      </w:r>
      <w:r>
        <w:rPr>
          <w:rFonts w:hint="default" w:ascii="Times New Roman" w:hAnsi="Times New Roman" w:cs="Times New Roman" w:eastAsiaTheme="minorEastAsia"/>
          <w:b w:val="0"/>
          <w:kern w:val="0"/>
          <w:sz w:val="27"/>
          <w:szCs w:val="27"/>
          <w:lang w:val="en-US" w:eastAsia="zh-CN" w:bidi="ar"/>
        </w:rPr>
        <w:t>    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编：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100743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asciiTheme="minorHAnsi" w:hAnsiTheme="minorHAnsi" w:eastAsiaTheme="minorEastAsia" w:cstheme="minorBidi"/>
          <w:b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附</w:t>
      </w:r>
      <w:r>
        <w:rPr>
          <w:rFonts w:hint="default" w:ascii="Times New Roman" w:hAnsi="Times New Roman" w:cs="Times New Roman" w:eastAsiaTheme="minorEastAsia"/>
          <w:b w:val="0"/>
          <w:kern w:val="0"/>
          <w:sz w:val="27"/>
          <w:szCs w:val="27"/>
          <w:lang w:val="en-US" w:eastAsia="zh-CN" w:bidi="ar"/>
        </w:rPr>
        <w:t>    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件：</w:t>
      </w:r>
      <w:r>
        <w:rPr>
          <w:rFonts w:hint="default" w:ascii="仿宋_GB2312" w:eastAsia="仿宋_GB2312" w:cs="仿宋_GB2312" w:hAnsiTheme="minorHAnsi"/>
          <w:b w:val="0"/>
          <w:color w:val="666666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b w:val="0"/>
          <w:color w:val="666666"/>
          <w:kern w:val="0"/>
          <w:sz w:val="27"/>
          <w:szCs w:val="27"/>
          <w:u w:val="none"/>
          <w:lang w:val="en-US" w:eastAsia="zh-CN" w:bidi="ar"/>
        </w:rPr>
        <w:instrText xml:space="preserve"> HYPERLINK "http://xjc.bjedu.gov.cn/Portals/0/uploads/otherfile/20171110/%E9%99%84%E4%BB%B6%EF%BC%9A%E5%8C%97%E4%BA%AC%E9%AB%98%E6%A0%A1%E2%80%9C%E8%BE%85%E5%AF%BC%E5%91%98%E5%B7%A5%E4%BD%9C%E5%AE%A4%E2%80%9D%E7%94%B3%E6%8A%A5%E8%A1%A8.doc" \t "http://xjc.bjedu.gov.cn/tabid/215/InfoID/30998/frtid/40/_blank" </w:instrText>
      </w:r>
      <w:r>
        <w:rPr>
          <w:rFonts w:hint="default" w:ascii="仿宋_GB2312" w:eastAsia="仿宋_GB2312" w:cs="仿宋_GB2312" w:hAnsiTheme="minorHAnsi"/>
          <w:b w:val="0"/>
          <w:color w:val="666666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3"/>
          <w:rFonts w:hint="default" w:ascii="仿宋_GB2312" w:eastAsia="仿宋_GB2312" w:cs="仿宋_GB2312"/>
          <w:b w:val="0"/>
          <w:color w:val="666666"/>
          <w:sz w:val="27"/>
          <w:szCs w:val="27"/>
          <w:u w:val="none"/>
        </w:rPr>
        <w:t>北京高校“辅导员工作室”申报表</w:t>
      </w:r>
      <w:r>
        <w:rPr>
          <w:rFonts w:hint="default" w:ascii="仿宋_GB2312" w:eastAsia="仿宋_GB2312" w:cs="仿宋_GB2312" w:hAnsiTheme="minorHAnsi"/>
          <w:b w:val="0"/>
          <w:color w:val="666666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  <w:sz w:val="27"/>
          <w:szCs w:val="27"/>
        </w:rPr>
      </w:pPr>
      <w:r>
        <w:rPr>
          <w:rFonts w:asciiTheme="minorHAnsi" w:hAnsiTheme="minorHAnsi" w:eastAsiaTheme="minorEastAsia" w:cstheme="minorBidi"/>
          <w:b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b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中共北京市委教育工作委员会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b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11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仿宋_GB2312" w:eastAsia="仿宋_GB2312" w:cs="仿宋_GB2312" w:hAnsiTheme="minorHAnsi"/>
          <w:b w:val="0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35D40"/>
    <w:rsid w:val="44EE690A"/>
    <w:rsid w:val="61635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2017-11-10T09:29:00Z</dcterms:created>
  <dc:creator>浚1386574288</dc:creator>
  <cp:lastModifiedBy>浚1386574288</cp:lastModifiedBy>
  <dcterms:modified xsi:type="dcterms:W3CDTF">2017-11-10T09:55:32Z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