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《</w:t>
      </w:r>
      <w:r>
        <w:rPr>
          <w:rFonts w:hint="eastAsia"/>
          <w:b/>
          <w:bCs/>
          <w:sz w:val="32"/>
          <w:szCs w:val="32"/>
        </w:rPr>
        <w:t>辅导员如何应对大学生的抑郁症和自杀危机》</w:t>
      </w:r>
      <w:r>
        <w:rPr>
          <w:rFonts w:hint="eastAsia"/>
          <w:b/>
          <w:bCs/>
          <w:sz w:val="32"/>
          <w:szCs w:val="32"/>
          <w:lang w:val="en-US" w:eastAsia="zh-CN"/>
        </w:rPr>
        <w:t>专题讲座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回  执 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9"/>
        <w:gridCol w:w="2805"/>
        <w:gridCol w:w="2178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0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部院系</w:t>
            </w:r>
          </w:p>
        </w:tc>
        <w:tc>
          <w:tcPr>
            <w:tcW w:w="2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（专职辅导员/班主任/学生事务助理）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E319F"/>
    <w:rsid w:val="622E319F"/>
    <w:rsid w:val="71417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2017-05-16T08:35:00Z</dcterms:created>
  <dc:creator>fdy</dc:creator>
  <cp:lastModifiedBy>fdy</cp:lastModifiedBy>
  <dcterms:modified xsi:type="dcterms:W3CDTF">2017-05-16T08:39:42Z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